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79432A">
        <w:rPr>
          <w:b/>
          <w:bCs/>
          <w:sz w:val="24"/>
          <w:szCs w:val="24"/>
        </w:rPr>
        <w:t>3</w:t>
      </w:r>
      <w:r w:rsidR="00274B00" w:rsidRPr="00A2149A">
        <w:rPr>
          <w:b/>
          <w:bCs/>
          <w:sz w:val="24"/>
          <w:szCs w:val="24"/>
        </w:rPr>
        <w:t>5</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D13829">
        <w:rPr>
          <w:rFonts w:cs="Angsana New"/>
          <w:b/>
          <w:bCs/>
          <w:sz w:val="24"/>
          <w:szCs w:val="30"/>
        </w:rPr>
        <w:t>Academic English</w:t>
      </w:r>
      <w:r w:rsidR="00274B00" w:rsidRPr="00A2149A">
        <w:rPr>
          <w:b/>
          <w:bCs/>
          <w:sz w:val="24"/>
          <w:szCs w:val="24"/>
        </w:rPr>
        <w:t xml:space="preserve"> 5</w:t>
      </w:r>
    </w:p>
    <w:p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A2149A" w:rsidTr="00082694">
        <w:tc>
          <w:tcPr>
            <w:tcW w:w="5052"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690D27" w:rsidRPr="008E6883">
              <w:rPr>
                <w:b/>
                <w:bCs/>
                <w:color w:val="000000"/>
                <w:sz w:val="22"/>
                <w:szCs w:val="22"/>
              </w:rPr>
              <w:t>/Learning outcomes</w:t>
            </w:r>
          </w:p>
        </w:tc>
        <w:tc>
          <w:tcPr>
            <w:tcW w:w="2551"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Identify the main idea, analyze the essence, take organized notes and express opinions from listening to lectures and </w:t>
            </w:r>
            <w:bookmarkStart w:id="0" w:name="_GoBack"/>
            <w:bookmarkEnd w:id="0"/>
            <w:r w:rsidRPr="002011EC">
              <w:rPr>
                <w:rFonts w:cs="Times New Roman"/>
                <w:szCs w:val="24"/>
              </w:rPr>
              <w:t xml:space="preserve">reading articles, as well as provide justifications and examples for illustration </w:t>
            </w:r>
          </w:p>
        </w:tc>
        <w:tc>
          <w:tcPr>
            <w:tcW w:w="2551" w:type="dxa"/>
          </w:tcPr>
          <w:p w:rsidR="007D346F" w:rsidRPr="00A2149A" w:rsidRDefault="007D346F" w:rsidP="00A14B57">
            <w:pPr>
              <w:pBdr>
                <w:top w:val="nil"/>
                <w:left w:val="nil"/>
                <w:bottom w:val="nil"/>
                <w:right w:val="nil"/>
                <w:between w:val="nil"/>
              </w:pBdr>
              <w:rPr>
                <w:color w:val="000000"/>
                <w:sz w:val="24"/>
                <w:szCs w:val="24"/>
              </w:rPr>
            </w:pPr>
            <w:r w:rsidRPr="0001307A">
              <w:rPr>
                <w:color w:val="000000"/>
                <w:sz w:val="24"/>
                <w:szCs w:val="24"/>
              </w:rPr>
              <w:t xml:space="preserve">identify, </w:t>
            </w:r>
            <w:r w:rsidR="00A14B57">
              <w:rPr>
                <w:color w:val="000000"/>
                <w:sz w:val="24"/>
                <w:szCs w:val="24"/>
              </w:rPr>
              <w:t xml:space="preserve">analyze, express, provide, </w:t>
            </w:r>
            <w:r w:rsidRPr="0001307A">
              <w:rPr>
                <w:color w:val="000000"/>
                <w:sz w:val="24"/>
                <w:szCs w:val="24"/>
              </w:rPr>
              <w:t xml:space="preserve">justify, </w:t>
            </w:r>
            <w:r w:rsidR="00A14B57">
              <w:rPr>
                <w:color w:val="000000"/>
                <w:sz w:val="24"/>
                <w:szCs w:val="24"/>
              </w:rPr>
              <w:t>illustrate, choose, give examples</w:t>
            </w:r>
          </w:p>
        </w:tc>
        <w:tc>
          <w:tcPr>
            <w:tcW w:w="2410"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Activities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Computing and ICT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Career and Learning Skills,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Compassion,</w:t>
            </w:r>
          </w:p>
          <w:p w:rsidR="007D346F" w:rsidRDefault="007D346F" w:rsidP="007D346F">
            <w:pPr>
              <w:pBdr>
                <w:top w:val="nil"/>
                <w:left w:val="nil"/>
                <w:bottom w:val="nil"/>
                <w:right w:val="nil"/>
                <w:between w:val="nil"/>
              </w:pBdr>
              <w:rPr>
                <w:color w:val="000000"/>
                <w:sz w:val="24"/>
                <w:szCs w:val="24"/>
              </w:rPr>
            </w:pPr>
            <w:r w:rsidRPr="00A2149A">
              <w:rPr>
                <w:color w:val="000000"/>
                <w:sz w:val="24"/>
                <w:szCs w:val="24"/>
              </w:rPr>
              <w:t>Learning, Leadership</w:t>
            </w:r>
          </w:p>
          <w:p w:rsidR="007D346F" w:rsidRPr="00A2149A" w:rsidRDefault="007D346F" w:rsidP="007D346F">
            <w:pPr>
              <w:pBdr>
                <w:top w:val="nil"/>
                <w:left w:val="nil"/>
                <w:bottom w:val="nil"/>
                <w:right w:val="nil"/>
                <w:between w:val="nil"/>
              </w:pBdr>
              <w:rPr>
                <w:color w:val="000000"/>
                <w:sz w:val="24"/>
                <w:szCs w:val="24"/>
              </w:rPr>
            </w:pPr>
          </w:p>
        </w:tc>
        <w:tc>
          <w:tcPr>
            <w:tcW w:w="2552" w:type="dxa"/>
            <w:vMerge w:val="restart"/>
          </w:tcPr>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jc w:val="both"/>
              <w:rPr>
                <w:rFonts w:cs="Times New Roman"/>
                <w:szCs w:val="24"/>
              </w:rPr>
            </w:pPr>
            <w:r w:rsidRPr="002011EC">
              <w:rPr>
                <w:rFonts w:cs="Times New Roman"/>
                <w:szCs w:val="24"/>
              </w:rPr>
              <w:t xml:space="preserve">Demonstrate comprehension of relationships between ideas and make inferences and predictions about spoken or written discourse including the meanings of unfamiliar words from context </w:t>
            </w:r>
          </w:p>
        </w:tc>
        <w:tc>
          <w:tcPr>
            <w:tcW w:w="2551" w:type="dxa"/>
          </w:tcPr>
          <w:p w:rsidR="007D346F" w:rsidRPr="00A2149A" w:rsidRDefault="00A14B57" w:rsidP="00A14B57">
            <w:pPr>
              <w:pBdr>
                <w:top w:val="nil"/>
                <w:left w:val="nil"/>
                <w:bottom w:val="nil"/>
                <w:right w:val="nil"/>
                <w:between w:val="nil"/>
              </w:pBdr>
              <w:rPr>
                <w:color w:val="000000"/>
                <w:sz w:val="24"/>
                <w:szCs w:val="24"/>
              </w:rPr>
            </w:pPr>
            <w:r>
              <w:rPr>
                <w:color w:val="000000"/>
                <w:sz w:val="24"/>
                <w:szCs w:val="24"/>
              </w:rPr>
              <w:t xml:space="preserve">demonstrate, make inferences, predict, </w:t>
            </w:r>
            <w:r w:rsidR="007D346F">
              <w:rPr>
                <w:color w:val="000000"/>
                <w:sz w:val="24"/>
                <w:szCs w:val="24"/>
              </w:rPr>
              <w:t>explain</w:t>
            </w:r>
            <w:r>
              <w:rPr>
                <w:color w:val="000000"/>
                <w:sz w:val="24"/>
                <w:szCs w:val="24"/>
              </w:rPr>
              <w:t xml:space="preserve">, </w:t>
            </w:r>
            <w:r w:rsidR="007D346F" w:rsidRPr="0001307A">
              <w:rPr>
                <w:color w:val="000000"/>
                <w:sz w:val="24"/>
                <w:szCs w:val="24"/>
              </w:rPr>
              <w:t xml:space="preserve">conclude, select, </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Converse and write to exchange data about themselves and various matters around them, experiences, situations, news/incidents, issues of interest to society and communicate the data continuously and appropriately </w:t>
            </w:r>
          </w:p>
        </w:tc>
        <w:tc>
          <w:tcPr>
            <w:tcW w:w="2551" w:type="dxa"/>
          </w:tcPr>
          <w:p w:rsidR="005228AC" w:rsidRDefault="005228AC" w:rsidP="007D346F">
            <w:pPr>
              <w:pBdr>
                <w:top w:val="nil"/>
                <w:left w:val="nil"/>
                <w:bottom w:val="nil"/>
                <w:right w:val="nil"/>
                <w:between w:val="nil"/>
              </w:pBdr>
              <w:rPr>
                <w:color w:val="000000"/>
                <w:sz w:val="24"/>
                <w:szCs w:val="24"/>
              </w:rPr>
            </w:pPr>
            <w:r>
              <w:rPr>
                <w:color w:val="000000"/>
                <w:sz w:val="24"/>
                <w:szCs w:val="24"/>
              </w:rPr>
              <w:t xml:space="preserve">converse, write, exchange, speak, </w:t>
            </w:r>
          </w:p>
          <w:p w:rsidR="007D346F" w:rsidRPr="00A2149A" w:rsidRDefault="00106931" w:rsidP="007D346F">
            <w:pPr>
              <w:pBdr>
                <w:top w:val="nil"/>
                <w:left w:val="nil"/>
                <w:bottom w:val="nil"/>
                <w:right w:val="nil"/>
                <w:between w:val="nil"/>
              </w:pBdr>
              <w:rPr>
                <w:color w:val="000000"/>
                <w:sz w:val="24"/>
                <w:szCs w:val="24"/>
              </w:rPr>
            </w:pPr>
            <w:r>
              <w:rPr>
                <w:color w:val="000000"/>
                <w:sz w:val="24"/>
                <w:szCs w:val="24"/>
              </w:rPr>
              <w:t>explain, express, discuss, provide</w:t>
            </w:r>
            <w:r w:rsidR="00881237">
              <w:rPr>
                <w:color w:val="000000"/>
                <w:sz w:val="24"/>
                <w:szCs w:val="24"/>
              </w:rPr>
              <w:t>, describe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Write to describe non-text media such as graphs and charts, argue a position in an essay</w:t>
            </w:r>
            <w:r w:rsidRPr="002011EC">
              <w:rPr>
                <w:szCs w:val="24"/>
              </w:rPr>
              <w:t xml:space="preserve"> </w:t>
            </w:r>
            <w:r w:rsidRPr="002011EC">
              <w:rPr>
                <w:rFonts w:cs="Times New Roman"/>
                <w:szCs w:val="24"/>
              </w:rPr>
              <w:t>and apply the conventions of academic writing in English</w:t>
            </w:r>
          </w:p>
        </w:tc>
        <w:tc>
          <w:tcPr>
            <w:tcW w:w="2551" w:type="dxa"/>
          </w:tcPr>
          <w:p w:rsidR="007D346F" w:rsidRPr="00A2149A" w:rsidRDefault="00881237" w:rsidP="007D346F">
            <w:pPr>
              <w:pBdr>
                <w:top w:val="nil"/>
                <w:left w:val="nil"/>
                <w:bottom w:val="nil"/>
                <w:right w:val="nil"/>
                <w:between w:val="nil"/>
              </w:pBdr>
              <w:rPr>
                <w:color w:val="000000"/>
                <w:sz w:val="24"/>
                <w:szCs w:val="24"/>
              </w:rPr>
            </w:pPr>
            <w:r>
              <w:rPr>
                <w:color w:val="000000"/>
                <w:sz w:val="24"/>
                <w:szCs w:val="24"/>
              </w:rPr>
              <w:t>write, describe, explain, express, argue, discuss, compose, provide, summarize, conclude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lang w:val="en-GB"/>
              </w:rPr>
              <w:t>Explain, analyse and discuss the lifestyles, thoughts, beliefs and origins of customs and traditions of native speakers along with similarities and differences between the lifestyles, beliefs and culture of native speakers and those of Thais, and apply them appropriately</w:t>
            </w:r>
            <w:r w:rsidRPr="002011EC">
              <w:rPr>
                <w:rFonts w:cs="Times New Roman"/>
                <w:szCs w:val="24"/>
              </w:rPr>
              <w:t xml:space="preserve"> </w:t>
            </w:r>
          </w:p>
        </w:tc>
        <w:tc>
          <w:tcPr>
            <w:tcW w:w="2551" w:type="dxa"/>
          </w:tcPr>
          <w:p w:rsidR="007D346F" w:rsidRDefault="007D346F" w:rsidP="007D346F">
            <w:pPr>
              <w:pBdr>
                <w:top w:val="nil"/>
                <w:left w:val="nil"/>
                <w:bottom w:val="nil"/>
                <w:right w:val="nil"/>
                <w:between w:val="nil"/>
              </w:pBdr>
              <w:rPr>
                <w:color w:val="000000"/>
                <w:sz w:val="24"/>
                <w:szCs w:val="24"/>
              </w:rPr>
            </w:pPr>
            <w:r>
              <w:rPr>
                <w:color w:val="000000"/>
                <w:sz w:val="24"/>
                <w:szCs w:val="24"/>
              </w:rPr>
              <w:t xml:space="preserve">explain, </w:t>
            </w:r>
            <w:r w:rsidR="00CE18BC">
              <w:rPr>
                <w:color w:val="000000"/>
                <w:sz w:val="24"/>
                <w:szCs w:val="24"/>
              </w:rPr>
              <w:t xml:space="preserve">analyze, </w:t>
            </w:r>
            <w:r>
              <w:rPr>
                <w:color w:val="000000"/>
                <w:sz w:val="24"/>
                <w:szCs w:val="24"/>
              </w:rPr>
              <w:t xml:space="preserve">discuss, provide, </w:t>
            </w:r>
            <w:r w:rsidR="00CE18BC">
              <w:rPr>
                <w:color w:val="000000"/>
                <w:sz w:val="24"/>
                <w:szCs w:val="24"/>
              </w:rPr>
              <w:t xml:space="preserve">compare, contrast, apply, use, </w:t>
            </w:r>
            <w:r>
              <w:rPr>
                <w:color w:val="000000"/>
                <w:sz w:val="24"/>
                <w:szCs w:val="24"/>
              </w:rPr>
              <w:t>express, summarize, conclude</w:t>
            </w:r>
          </w:p>
          <w:p w:rsidR="00881237" w:rsidRPr="00A2149A" w:rsidRDefault="00881237" w:rsidP="007D346F">
            <w:pPr>
              <w:pBdr>
                <w:top w:val="nil"/>
                <w:left w:val="nil"/>
                <w:bottom w:val="nil"/>
                <w:right w:val="nil"/>
                <w:between w:val="nil"/>
              </w:pBdr>
              <w:rPr>
                <w:color w:val="000000"/>
                <w:sz w:val="24"/>
                <w:szCs w:val="24"/>
              </w:rPr>
            </w:pP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 xml:space="preserve">Clearly present a fully developed response, with logically organized information and ideas, in either speaking or writing to the questions asked </w:t>
            </w:r>
          </w:p>
        </w:tc>
        <w:tc>
          <w:tcPr>
            <w:tcW w:w="2551" w:type="dxa"/>
          </w:tcPr>
          <w:p w:rsidR="007D346F" w:rsidRDefault="006871C3" w:rsidP="007D346F">
            <w:pPr>
              <w:pBdr>
                <w:top w:val="nil"/>
                <w:left w:val="nil"/>
                <w:bottom w:val="nil"/>
                <w:right w:val="nil"/>
                <w:between w:val="nil"/>
              </w:pBdr>
              <w:rPr>
                <w:color w:val="000000"/>
                <w:sz w:val="24"/>
                <w:szCs w:val="24"/>
              </w:rPr>
            </w:pPr>
            <w:r>
              <w:rPr>
                <w:color w:val="000000"/>
                <w:sz w:val="24"/>
                <w:szCs w:val="24"/>
              </w:rPr>
              <w:t xml:space="preserve">present, develop, organize, </w:t>
            </w:r>
            <w:r w:rsidR="007D346F" w:rsidRPr="000136B9">
              <w:rPr>
                <w:color w:val="000000"/>
                <w:sz w:val="24"/>
                <w:szCs w:val="24"/>
              </w:rPr>
              <w:t>classify</w:t>
            </w:r>
            <w:r w:rsidR="007D346F">
              <w:rPr>
                <w:color w:val="000000"/>
                <w:sz w:val="24"/>
                <w:szCs w:val="24"/>
              </w:rPr>
              <w:t>, discuss, compare,</w:t>
            </w:r>
          </w:p>
          <w:p w:rsidR="00CE18BC" w:rsidRPr="00A2149A" w:rsidRDefault="007D346F" w:rsidP="006871C3">
            <w:pPr>
              <w:pBdr>
                <w:top w:val="nil"/>
                <w:left w:val="nil"/>
                <w:bottom w:val="nil"/>
                <w:right w:val="nil"/>
                <w:between w:val="nil"/>
              </w:pBdr>
              <w:rPr>
                <w:color w:val="000000"/>
                <w:sz w:val="24"/>
                <w:szCs w:val="24"/>
              </w:rPr>
            </w:pPr>
            <w:r>
              <w:rPr>
                <w:color w:val="000000"/>
                <w:sz w:val="24"/>
                <w:szCs w:val="24"/>
              </w:rPr>
              <w:t>conclude, summarize, show, explain</w:t>
            </w:r>
            <w:r w:rsidR="006871C3">
              <w:rPr>
                <w:color w:val="000000"/>
                <w:sz w:val="24"/>
                <w:szCs w:val="24"/>
              </w:rPr>
              <w:t xml:space="preserve">, </w:t>
            </w:r>
            <w:r w:rsidR="00CE18BC" w:rsidRPr="00F92BF6">
              <w:rPr>
                <w:color w:val="000000"/>
                <w:sz w:val="24"/>
                <w:szCs w:val="24"/>
              </w:rPr>
              <w:t>record</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Use a wide range of structures, comprehensive vocabulary and effective pronunciation features with full flexibility, fluency and accuracy, with very natural and sophisticated control of lexical features using precision and subtlety</w:t>
            </w:r>
          </w:p>
        </w:tc>
        <w:tc>
          <w:tcPr>
            <w:tcW w:w="2551" w:type="dxa"/>
          </w:tcPr>
          <w:p w:rsidR="007D346F" w:rsidRPr="00A2149A" w:rsidRDefault="000D6385" w:rsidP="000D6385">
            <w:pPr>
              <w:pBdr>
                <w:top w:val="nil"/>
                <w:left w:val="nil"/>
                <w:bottom w:val="nil"/>
                <w:right w:val="nil"/>
                <w:between w:val="nil"/>
              </w:pBdr>
              <w:rPr>
                <w:color w:val="000000"/>
                <w:sz w:val="24"/>
                <w:szCs w:val="24"/>
              </w:rPr>
            </w:pPr>
            <w:r>
              <w:rPr>
                <w:color w:val="000000"/>
                <w:sz w:val="24"/>
                <w:szCs w:val="24"/>
              </w:rPr>
              <w:t xml:space="preserve">employ, use, </w:t>
            </w:r>
            <w:r w:rsidR="006871C3">
              <w:rPr>
                <w:color w:val="000000"/>
                <w:sz w:val="24"/>
                <w:szCs w:val="24"/>
              </w:rPr>
              <w:t>l</w:t>
            </w:r>
            <w:r w:rsidR="006871C3" w:rsidRPr="00F92BF6">
              <w:rPr>
                <w:color w:val="000000"/>
                <w:sz w:val="24"/>
                <w:szCs w:val="24"/>
              </w:rPr>
              <w:t>ist</w:t>
            </w:r>
            <w:r w:rsidR="006871C3">
              <w:rPr>
                <w:color w:val="000000"/>
                <w:sz w:val="24"/>
                <w:szCs w:val="24"/>
              </w:rPr>
              <w:t xml:space="preserve">, </w:t>
            </w:r>
            <w:r w:rsidR="006871C3" w:rsidRPr="00F92BF6">
              <w:rPr>
                <w:color w:val="000000"/>
                <w:sz w:val="24"/>
                <w:szCs w:val="24"/>
              </w:rPr>
              <w:t>underline</w:t>
            </w:r>
            <w:r w:rsidR="006871C3">
              <w:rPr>
                <w:color w:val="000000"/>
                <w:sz w:val="24"/>
                <w:szCs w:val="24"/>
              </w:rPr>
              <w:t>, state, define, arrange, name, tell, select, reproduce</w:t>
            </w:r>
            <w:r w:rsidR="006871C3">
              <w:rPr>
                <w:color w:val="000000"/>
                <w:sz w:val="24"/>
                <w:szCs w:val="24"/>
              </w:rPr>
              <w:t xml:space="preserve"> </w:t>
            </w:r>
            <w:r w:rsidR="007D346F">
              <w:rPr>
                <w:color w:val="000000"/>
                <w:sz w:val="24"/>
                <w:szCs w:val="24"/>
              </w:rPr>
              <w:t xml:space="preserve">express, </w:t>
            </w:r>
            <w:r w:rsidR="007D346F" w:rsidRPr="000136B9">
              <w:rPr>
                <w:color w:val="000000"/>
                <w:sz w:val="24"/>
                <w:szCs w:val="24"/>
              </w:rPr>
              <w:t>classify</w:t>
            </w:r>
            <w:r w:rsidR="007D346F">
              <w:rPr>
                <w:color w:val="000000"/>
                <w:sz w:val="24"/>
                <w:szCs w:val="24"/>
              </w:rPr>
              <w:t>, justify, provide, categorize, critique, differentiate, debate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45" w:rsidRDefault="002D50CF">
      <w:r>
        <w:separator/>
      </w:r>
    </w:p>
  </w:endnote>
  <w:endnote w:type="continuationSeparator" w:id="0">
    <w:p w:rsidR="00A06545" w:rsidRDefault="002D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45" w:rsidRDefault="002D50CF">
      <w:r>
        <w:separator/>
      </w:r>
    </w:p>
  </w:footnote>
  <w:footnote w:type="continuationSeparator" w:id="0">
    <w:p w:rsidR="00A06545" w:rsidRDefault="002D5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04028"/>
    <w:rsid w:val="0001307A"/>
    <w:rsid w:val="000136B9"/>
    <w:rsid w:val="0006517A"/>
    <w:rsid w:val="00082694"/>
    <w:rsid w:val="000D6385"/>
    <w:rsid w:val="00106931"/>
    <w:rsid w:val="00154960"/>
    <w:rsid w:val="001703F8"/>
    <w:rsid w:val="001F406C"/>
    <w:rsid w:val="00262900"/>
    <w:rsid w:val="00274B00"/>
    <w:rsid w:val="002B3EA2"/>
    <w:rsid w:val="002D50CF"/>
    <w:rsid w:val="00400C22"/>
    <w:rsid w:val="00465270"/>
    <w:rsid w:val="005228AC"/>
    <w:rsid w:val="00573CBE"/>
    <w:rsid w:val="005E112F"/>
    <w:rsid w:val="006871C3"/>
    <w:rsid w:val="00690D27"/>
    <w:rsid w:val="00693F1C"/>
    <w:rsid w:val="0079432A"/>
    <w:rsid w:val="007D346F"/>
    <w:rsid w:val="008800EA"/>
    <w:rsid w:val="00881237"/>
    <w:rsid w:val="008867BC"/>
    <w:rsid w:val="00896129"/>
    <w:rsid w:val="008E6883"/>
    <w:rsid w:val="00927CB8"/>
    <w:rsid w:val="00950438"/>
    <w:rsid w:val="00967477"/>
    <w:rsid w:val="009A6603"/>
    <w:rsid w:val="00A06545"/>
    <w:rsid w:val="00A14B57"/>
    <w:rsid w:val="00A2149A"/>
    <w:rsid w:val="00A400EA"/>
    <w:rsid w:val="00A82550"/>
    <w:rsid w:val="00AD5598"/>
    <w:rsid w:val="00B4761F"/>
    <w:rsid w:val="00C20324"/>
    <w:rsid w:val="00C23277"/>
    <w:rsid w:val="00C6063C"/>
    <w:rsid w:val="00CE18BC"/>
    <w:rsid w:val="00D13829"/>
    <w:rsid w:val="00D8781B"/>
    <w:rsid w:val="00DA46D3"/>
    <w:rsid w:val="00DD537F"/>
    <w:rsid w:val="00DE2610"/>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cp:revision>
  <cp:lastPrinted>2019-11-12T03:18:00Z</cp:lastPrinted>
  <dcterms:created xsi:type="dcterms:W3CDTF">2019-11-12T09:53:00Z</dcterms:created>
  <dcterms:modified xsi:type="dcterms:W3CDTF">2019-11-15T00:55:00Z</dcterms:modified>
</cp:coreProperties>
</file>