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38"/>
        <w:jc w:val="center"/>
        <w:rPr>
          <w:b w:val="1"/>
        </w:rPr>
      </w:pPr>
      <w:r w:rsidDel="00000000" w:rsidR="00000000" w:rsidRPr="00000000">
        <w:rPr>
          <w:b w:val="1"/>
          <w:rtl w:val="0"/>
        </w:rPr>
        <w:t xml:space="preserve">Course Description</w:t>
      </w:r>
    </w:p>
    <w:p w:rsidR="00000000" w:rsidDel="00000000" w:rsidP="00000000" w:rsidRDefault="00000000" w:rsidRPr="00000000" w14:paraId="00000002">
      <w:pPr>
        <w:tabs>
          <w:tab w:val="left" w:leader="none" w:pos="5400"/>
        </w:tabs>
        <w:jc w:val="both"/>
        <w:rPr>
          <w:rFonts w:ascii="Times New Roman" w:cs="Times New Roman" w:eastAsia="Times New Roman" w:hAnsi="Times New Roman"/>
          <w:b w:val="1"/>
          <w:sz w:val="24"/>
          <w:szCs w:val="24"/>
        </w:rPr>
      </w:pPr>
      <w:r w:rsidDel="00000000" w:rsidR="00000000" w:rsidRPr="00000000">
        <w:rPr>
          <w:b w:val="1"/>
          <w:rtl w:val="0"/>
        </w:rPr>
        <w:t xml:space="preserve">The Department of Foreign Languages</w:t>
      </w: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b w:val="1"/>
          <w:rtl w:val="0"/>
        </w:rPr>
        <w:t xml:space="preserve">Level of Students: M. 5</w:t>
      </w:r>
      <w:r w:rsidDel="00000000" w:rsidR="00000000" w:rsidRPr="00000000">
        <w:rPr>
          <w:rtl w:val="0"/>
        </w:rPr>
      </w:r>
    </w:p>
    <w:p w:rsidR="00000000" w:rsidDel="00000000" w:rsidP="00000000" w:rsidRDefault="00000000" w:rsidRPr="00000000" w14:paraId="00000003">
      <w:pPr>
        <w:tabs>
          <w:tab w:val="left" w:leader="none" w:pos="5400"/>
        </w:tabs>
        <w:rPr>
          <w:b w:val="1"/>
        </w:rPr>
      </w:pPr>
      <w:r w:rsidDel="00000000" w:rsidR="00000000" w:rsidRPr="00000000">
        <w:rPr>
          <w:b w:val="1"/>
          <w:rtl w:val="0"/>
        </w:rPr>
        <w:t xml:space="preserve">Subject Code: </w:t>
      </w:r>
      <w:r w:rsidDel="00000000" w:rsidR="00000000" w:rsidRPr="00000000">
        <w:rPr>
          <w:b w:val="1"/>
          <w:highlight w:val="yellow"/>
          <w:rtl w:val="0"/>
        </w:rPr>
        <w:t xml:space="preserve">EN</w:t>
      </w:r>
      <w:r w:rsidDel="00000000" w:rsidR="00000000" w:rsidRPr="00000000">
        <w:rPr>
          <w:rFonts w:ascii="Times New Roman" w:cs="Times New Roman" w:eastAsia="Times New Roman" w:hAnsi="Times New Roman"/>
          <w:b w:val="1"/>
          <w:sz w:val="24"/>
          <w:szCs w:val="24"/>
          <w:highlight w:val="yellow"/>
          <w:rtl w:val="0"/>
        </w:rPr>
        <w:t xml:space="preserve">30</w:t>
      </w:r>
      <w:r w:rsidDel="00000000" w:rsidR="00000000" w:rsidRPr="00000000">
        <w:rPr>
          <w:b w:val="1"/>
          <w:highlight w:val="yellow"/>
          <w:rtl w:val="0"/>
        </w:rPr>
        <w:t xml:space="preserve">2…</w:t>
      </w:r>
      <w:r w:rsidDel="00000000" w:rsidR="00000000" w:rsidRPr="00000000">
        <w:rPr>
          <w:rFonts w:ascii="Times New Roman" w:cs="Times New Roman" w:eastAsia="Times New Roman" w:hAnsi="Times New Roman"/>
          <w:b w:val="1"/>
          <w:sz w:val="24"/>
          <w:szCs w:val="24"/>
          <w:rtl w:val="0"/>
        </w:rPr>
        <w:tab/>
      </w:r>
      <w:r w:rsidDel="00000000" w:rsidR="00000000" w:rsidRPr="00000000">
        <w:rPr>
          <w:b w:val="1"/>
          <w:rtl w:val="0"/>
        </w:rPr>
        <w:t xml:space="preserve">Subject: English through Media</w:t>
      </w:r>
    </w:p>
    <w:p w:rsidR="00000000" w:rsidDel="00000000" w:rsidP="00000000" w:rsidRDefault="00000000" w:rsidRPr="00000000" w14:paraId="00000004">
      <w:pPr>
        <w:pBdr>
          <w:bottom w:color="000000" w:space="1" w:sz="4" w:val="single"/>
        </w:pBdr>
        <w:tabs>
          <w:tab w:val="left" w:leader="none" w:pos="5400"/>
        </w:tabs>
        <w:jc w:val="both"/>
        <w:rPr>
          <w:b w:val="1"/>
        </w:rPr>
      </w:pPr>
      <w:r w:rsidDel="00000000" w:rsidR="00000000" w:rsidRPr="00000000">
        <w:rPr>
          <w:b w:val="1"/>
          <w:rtl w:val="0"/>
        </w:rPr>
        <w:t xml:space="preserve">Number of Credit: 1</w:t>
      </w:r>
      <w:r w:rsidDel="00000000" w:rsidR="00000000" w:rsidRPr="00000000">
        <w:rPr>
          <w:rFonts w:ascii="Times New Roman" w:cs="Times New Roman" w:eastAsia="Times New Roman" w:hAnsi="Times New Roman"/>
          <w:b w:val="1"/>
          <w:sz w:val="24"/>
          <w:szCs w:val="24"/>
          <w:rtl w:val="0"/>
        </w:rPr>
        <w:tab/>
      </w:r>
      <w:r w:rsidDel="00000000" w:rsidR="00000000" w:rsidRPr="00000000">
        <w:rPr>
          <w:b w:val="1"/>
          <w:rtl w:val="0"/>
        </w:rPr>
        <w:t xml:space="preserve">Time: 40 Periods</w:t>
      </w:r>
    </w:p>
    <w:p w:rsidR="00000000" w:rsidDel="00000000" w:rsidP="00000000" w:rsidRDefault="00000000" w:rsidRPr="00000000" w14:paraId="00000005">
      <w:pPr>
        <w:ind w:left="1627" w:hanging="1627"/>
        <w:rPr>
          <w:b w:val="1"/>
          <w:sz w:val="30"/>
          <w:szCs w:val="30"/>
        </w:rPr>
      </w:pPr>
      <w:r w:rsidDel="00000000" w:rsidR="00000000" w:rsidRPr="00000000">
        <w:rPr>
          <w:rtl w:val="0"/>
        </w:rPr>
      </w:r>
    </w:p>
    <w:p w:rsidR="00000000" w:rsidDel="00000000" w:rsidP="00000000" w:rsidRDefault="00000000" w:rsidRPr="00000000" w14:paraId="00000006">
      <w:pPr>
        <w:spacing w:line="360" w:lineRule="auto"/>
        <w:rPr>
          <w:b w:val="1"/>
        </w:rPr>
      </w:pPr>
      <w:r w:rsidDel="00000000" w:rsidR="00000000" w:rsidRPr="00000000">
        <w:rPr>
          <w:b w:val="1"/>
          <w:rtl w:val="0"/>
        </w:rPr>
        <w:t xml:space="preserve">Learning Outcomes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Tell the meanings and uses of vocabulary learned through media appropriately.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Recognize structures, grammatical patterns and vocabulary used in that genre media.</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Analyze the lyrics, poem, news and movies to understand how language is used artistically to evoke emotions, elicit facts and convey messages.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Criticize how language, tone, and dialogue influence character personalities and plot development in animated storytelling.</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Assess the effectiveness of language and dialogue in media, discussing how it shapes viewer perceptions and emotional engagement with the media.</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Summarize and identify the main idea, moral lessons, themes, and character interactions in media, fostering comprehension skills in visual storytelling.</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38"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Create media using appropriate language to achieve the desired targets.</w:t>
      </w:r>
    </w:p>
    <w:p w:rsidR="00000000" w:rsidDel="00000000" w:rsidP="00000000" w:rsidRDefault="00000000" w:rsidRPr="00000000" w14:paraId="0000000E">
      <w:pPr>
        <w:ind w:right="-38"/>
        <w:rPr/>
      </w:pPr>
      <w:r w:rsidDel="00000000" w:rsidR="00000000" w:rsidRPr="00000000">
        <w:rPr>
          <w:rtl w:val="0"/>
        </w:rPr>
      </w:r>
    </w:p>
    <w:p w:rsidR="00000000" w:rsidDel="00000000" w:rsidP="00000000" w:rsidRDefault="00000000" w:rsidRPr="00000000" w14:paraId="0000000F">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ind w:firstLine="720"/>
        <w:rPr>
          <w:highlight w:val="white"/>
        </w:rPr>
      </w:pPr>
      <w:r w:rsidDel="00000000" w:rsidR="00000000" w:rsidRPr="00000000">
        <w:rPr>
          <w:b w:val="1"/>
          <w:highlight w:val="white"/>
          <w:rtl w:val="0"/>
        </w:rPr>
        <w:t xml:space="preserve">Students will </w:t>
      </w:r>
      <w:r w:rsidDel="00000000" w:rsidR="00000000" w:rsidRPr="00000000">
        <w:rPr>
          <w:highlight w:val="white"/>
          <w:rtl w:val="0"/>
        </w:rPr>
        <w:t xml:space="preserve">tell the meanings and uses of vocabulary learned through media appropriately.</w:t>
      </w:r>
    </w:p>
    <w:p w:rsidR="00000000" w:rsidDel="00000000" w:rsidP="00000000" w:rsidRDefault="00000000" w:rsidRPr="00000000" w14:paraId="00000012">
      <w:pPr>
        <w:ind w:left="0" w:firstLine="0"/>
        <w:rPr>
          <w:b w:val="1"/>
          <w:color w:val="ff0000"/>
        </w:rPr>
      </w:pPr>
      <w:r w:rsidDel="00000000" w:rsidR="00000000" w:rsidRPr="00000000">
        <w:rPr>
          <w:highlight w:val="white"/>
          <w:rtl w:val="0"/>
        </w:rPr>
        <w:t xml:space="preserve">This course helps students to recognize structures, grammatical patterns and vocabulary used in that genre media and analyze the lyrics, poem, news and movies to understand how language is used artistically to evoke emotions, elicit facts and convey messages. They will learn to criticize how language, tone, and dialogue influence character personalities and plot development in animated storytelling and assess the effectiveness of language and dialogue in media, discussing how it shapes viewer perceptions and emotional engagement with the media. At the end of the course, students will be able to summarize and identify the main idea, moral lessons, themes, and character interactions in media, fostering comprehension skills in visual storytelling and finally, create media using appropriate language to achieve the desired targets.</w:t>
      </w:r>
      <w:r w:rsidDel="00000000" w:rsidR="00000000" w:rsidRPr="00000000">
        <w:rPr>
          <w:rtl w:val="0"/>
        </w:rPr>
      </w:r>
    </w:p>
    <w:p w:rsidR="00000000" w:rsidDel="00000000" w:rsidP="00000000" w:rsidRDefault="00000000" w:rsidRPr="00000000" w14:paraId="00000013">
      <w:pPr>
        <w:ind w:firstLine="720"/>
        <w:rPr>
          <w:rFonts w:ascii="Times New Roman" w:cs="Times New Roman" w:eastAsia="Times New Roman" w:hAnsi="Times New Roman"/>
          <w:b w:val="1"/>
          <w:sz w:val="30"/>
          <w:szCs w:val="30"/>
        </w:rPr>
      </w:pPr>
      <w:r w:rsidDel="00000000" w:rsidR="00000000" w:rsidRPr="00000000">
        <w:rPr>
          <w:b w:val="1"/>
          <w:rtl w:val="0"/>
        </w:rPr>
        <w:t xml:space="preserve">They will do this by using learning skills in the 21st century, </w:t>
      </w:r>
      <w:r w:rsidDel="00000000" w:rsidR="00000000" w:rsidRPr="00000000">
        <w:rPr>
          <w:rtl w:val="0"/>
        </w:rPr>
        <w:t xml:space="preserve">which encourages the students to be able to have </w:t>
      </w:r>
      <w:r w:rsidDel="00000000" w:rsidR="00000000" w:rsidRPr="00000000">
        <w:rPr>
          <w:b w:val="1"/>
          <w:rtl w:val="0"/>
        </w:rPr>
        <w:t xml:space="preserve">reading, writing, critical thinking and problem solving skills. </w:t>
      </w:r>
      <w:r w:rsidDel="00000000" w:rsidR="00000000" w:rsidRPr="00000000">
        <w:rPr>
          <w:rtl w:val="0"/>
        </w:rPr>
        <w:t xml:space="preserve">Other skills include</w:t>
      </w:r>
      <w:r w:rsidDel="00000000" w:rsidR="00000000" w:rsidRPr="00000000">
        <w:rPr>
          <w:b w:val="1"/>
          <w:rtl w:val="0"/>
        </w:rPr>
        <w:t xml:space="preserve"> creativity and innovation, cross-cultural understanding, collaboration, teamwork and leadership. </w:t>
      </w:r>
      <w:r w:rsidDel="00000000" w:rsidR="00000000" w:rsidRPr="00000000">
        <w:rPr>
          <w:rtl w:val="0"/>
        </w:rPr>
        <w:t xml:space="preserve">They also promote the students to have skills in terms of </w:t>
      </w:r>
      <w:r w:rsidDel="00000000" w:rsidR="00000000" w:rsidRPr="00000000">
        <w:rPr>
          <w:b w:val="1"/>
          <w:rtl w:val="0"/>
        </w:rPr>
        <w:t xml:space="preserve">communications, information, and media literacy, computing and ICT literacy, career and learning skills, compassion, learning, and leadership. </w:t>
      </w:r>
      <w:r w:rsidDel="00000000" w:rsidR="00000000" w:rsidRPr="00000000">
        <w:rPr>
          <w:rtl w:val="0"/>
        </w:rPr>
        <w:t xml:space="preserve">The learning skills will be used to make students possess</w:t>
      </w:r>
      <w:r w:rsidDel="00000000" w:rsidR="00000000" w:rsidRPr="00000000">
        <w:rPr>
          <w:b w:val="1"/>
          <w:rtl w:val="0"/>
        </w:rPr>
        <w:t xml:space="preserve"> learners’ key competencies</w:t>
      </w:r>
      <w:r w:rsidDel="00000000" w:rsidR="00000000" w:rsidRPr="00000000">
        <w:rPr>
          <w:rtl w:val="0"/>
        </w:rPr>
        <w:t xml:space="preserve">, which are </w:t>
      </w:r>
      <w:r w:rsidDel="00000000" w:rsidR="00000000" w:rsidRPr="00000000">
        <w:rPr>
          <w:b w:val="1"/>
          <w:rtl w:val="0"/>
        </w:rPr>
        <w:t xml:space="preserve">thinking capability, problem solving capability, capability in applying life skills and capability in technological application</w:t>
      </w:r>
      <w:r w:rsidDel="00000000" w:rsidR="00000000" w:rsidRPr="00000000">
        <w:rPr>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t xml:space="preserve">This will be done</w:t>
      </w:r>
      <w:r w:rsidDel="00000000" w:rsidR="00000000" w:rsidRPr="00000000">
        <w:rPr>
          <w:b w:val="1"/>
          <w:rtl w:val="0"/>
        </w:rPr>
        <w:t xml:space="preserve"> through the teaching and learning </w:t>
      </w:r>
      <w:r w:rsidDel="00000000" w:rsidR="00000000" w:rsidRPr="00000000">
        <w:rPr>
          <w:rtl w:val="0"/>
        </w:rPr>
        <w:t xml:space="preserve">focusing on promoting </w:t>
      </w:r>
      <w:r w:rsidDel="00000000" w:rsidR="00000000" w:rsidRPr="00000000">
        <w:rPr>
          <w:b w:val="1"/>
          <w:rtl w:val="0"/>
        </w:rPr>
        <w:t xml:space="preserve">Thai wisdom</w:t>
      </w:r>
      <w:r w:rsidDel="00000000" w:rsidR="00000000" w:rsidRPr="00000000">
        <w:rPr>
          <w:rtl w:val="0"/>
        </w:rPr>
        <w:t xml:space="preserve"> with respect to the language and literature and religion and tradition. Teaching and learning also promotes students to live under the </w:t>
      </w:r>
      <w:r w:rsidDel="00000000" w:rsidR="00000000" w:rsidRPr="00000000">
        <w:rPr>
          <w:b w:val="1"/>
          <w:rtl w:val="0"/>
        </w:rPr>
        <w:t xml:space="preserve">Sufficiency Economy Philosophy. </w:t>
      </w:r>
      <w:r w:rsidDel="00000000" w:rsidR="00000000" w:rsidRPr="00000000">
        <w:rPr>
          <w:rtl w:val="0"/>
        </w:rPr>
        <w:t xml:space="preserve">Students will be provided with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rtl w:val="0"/>
        </w:rPr>
        <w:t xml:space="preserve">desirable characteristics </w:t>
      </w:r>
      <w:r w:rsidDel="00000000" w:rsidR="00000000" w:rsidRPr="00000000">
        <w:rPr>
          <w:rtl w:val="0"/>
        </w:rPr>
        <w:t xml:space="preserve">such as </w:t>
      </w:r>
      <w:r w:rsidDel="00000000" w:rsidR="00000000" w:rsidRPr="00000000">
        <w:rPr>
          <w:b w:val="1"/>
          <w:rtl w:val="0"/>
        </w:rPr>
        <w:t xml:space="preserve">love of nation, religion and king, honesty and integrity and self-discipline</w:t>
      </w:r>
      <w:r w:rsidDel="00000000" w:rsidR="00000000" w:rsidRPr="00000000">
        <w:rPr>
          <w:rtl w:val="0"/>
        </w:rPr>
        <w:t xml:space="preserve">. Additional important characteristics are </w:t>
      </w:r>
      <w:r w:rsidDel="00000000" w:rsidR="00000000" w:rsidRPr="00000000">
        <w:rPr>
          <w:b w:val="1"/>
          <w:rtl w:val="0"/>
        </w:rPr>
        <w:t xml:space="preserve">avidity for learning, observance of principles of Sufficiency Economy Philosophy in one’s way of life, dedication and commitment to work, cherishing Thai-ness, public-mindedness and gentlemen of Assumption College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4">
      <w:pPr>
        <w:ind w:firstLine="72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t>
      </w:r>
    </w:p>
    <w:sectPr>
      <w:pgSz w:h="16838" w:w="11906" w:orient="portrait"/>
      <w:pgMar w:bottom="567" w:top="709" w:left="1134" w:right="99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0"/>
      <w:numFmt w:val="bullet"/>
      <w:lvlText w:val="•"/>
      <w:lvlJc w:val="left"/>
      <w:pPr>
        <w:ind w:left="1080" w:hanging="360"/>
      </w:pPr>
      <w:rPr>
        <w:rFonts w:ascii="Times New Roman" w:cs="Times New Roman" w:eastAsia="Times New Roman" w:hAnsi="Times New Roman"/>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qR35MfMT/iI/ApuFzmfWogYdGg==">CgMxLjA4AHIhMVZYaG1QdjhaSFhjdS1sek1rNEl5RXNvR0FiQjdCWlFC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